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142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Informacja prasowa</w:t>
      </w:r>
    </w:p>
    <w:p w:rsidR="00000000" w:rsidDel="00000000" w:rsidP="00000000" w:rsidRDefault="00000000" w:rsidRPr="00000000" w14:paraId="00000002">
      <w:pPr>
        <w:spacing w:after="360" w:lineRule="auto"/>
        <w:ind w:left="-851" w:right="142" w:firstLine="0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Warszawa, 6 kwietnia 2022 r.</w:t>
      </w:r>
    </w:p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Inflacja ostudzi wielkanocne apetyty Polaków? </w:t>
        <w:br w:type="textWrapping"/>
      </w:r>
    </w:p>
    <w:p w:rsidR="00000000" w:rsidDel="00000000" w:rsidP="00000000" w:rsidRDefault="00000000" w:rsidRPr="00000000" w14:paraId="00000005">
      <w:pPr>
        <w:ind w:right="14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*Wyniki ankiety PAYBACK Opinion Poll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Wielkanocna przerwa świąteczna, choć krótka, sprawia jednak, że tłumnie ruszamy do sklepów i z ochotą zapełniamy nasze lodówki rozmaitymi przysmakami. Tak przynajmniej było w poprzednich latach. A jaka będzie Wielkanoc w tym roku? Jaki budżet przeznaczymy na zakup produktów spożywczych, czy kupimy dla naszych najbliższych upominki i w końcu – jak na nasze zakupy wpłyną rosnące ceny? To sprawdził najnowszy PAYBACK Opinion Poll.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 wielkanocny stół prosto z supermarketu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Jak wynika z badania PAYBACK Opinion Poll, do Wielkanocy nie przygotowujemy się z dużym wyprzedzeniem. Ponad połowa z nas (54%) konieczne zakupy spożywcze robi kilka dni przed świątecznym weekendem, natomiast ok. 30% odwiedza sklepy tydzień wcześniej. Większość ankietowanych (68%) swoje koszyki zapełnia w super- lub hipermarketach, 60% odwiedza w tym celu dyskonty, a prawie 20% wyrusza na targi lub bazary. Przez internet, w sklepach osiedlowych lub delikatesach zakupy robi niewielki odsetek respondentów – odpowiednio 7, 6 i 5%. 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3510800" cy="3064234"/>
            <wp:effectExtent b="0" l="0" r="0" t="0"/>
            <wp:docPr id="8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10800" cy="30642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Wśród najczęściej wybieranej motywacji zakupowej wpływającej na wybór konkretnego sklepu, jest oczywiście cena oferowanych produktów, która jest kluczowa dla 64% ankietowanych. Ponad połowa konsumentów (52%) ceni sobie wygodę i dostępność produktów w jednym miejscu, niewiele mniej, bo 48%, zwraca uwagę na jakość asortymentu, a 37% wybiera sklepy znajdujące się blisko domu.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Wielkanoc w cieniu inflacji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Zdecydowana większość konsumentów (68%) przeznaczy na wielkanocne zakupy spożywcze w tym roku pomiędzy 101 a 500 zł. Świąteczne wydatki sfinansujemy przede wszystkim z bieżących dochodów lub oszczędności, co zadeklarowało 88% ankietowanych. Kartą kredytową zapłaci tylko co dziesiąty z nas, po środki z programu 500+ sięgnie 4% respondentów, a o kredyt, pożyczkę lub pieniądze od rodziny poprosi zaledwie 2% konsumentów.</w:t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3279133" cy="2547431"/>
            <wp:effectExtent b="0" l="0" r="0" t="0"/>
            <wp:docPr id="1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79133" cy="25474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Sporym wyzwaniem podczas kompletowania wielkanocnych koszyków spożywczych może być w tym roku inflacja. Prawie 60% respondentów naszego badania przyznało, że rosnące ceny prawdopodobnie przełożą się w ich przypadku na mniejsze zakupy. To dwukrotnie wyższy odsetek, jeśli spojrzymy na tę grupę ankietowanych, która zamierza kupić tyle produktów, co zwykle. Co ciekawe, zwłaszcza w świetle wysokiej inflacji, tylko co trzeci konsument planuje wielkanocny budżet z wyprzedzeniem i wyznacza sobie konkretną kwotę, którą wyda na zakupy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- komentuje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Katarzyna Grzywaczewska, Dyrektor Marketingu w PAYBACK Polska.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 pomocą dla naszych portfeli mogą jednak przyjść rozmaite promocje, a z tych korzysta duża grupa konsumentów – 46% z nich często, a 38% zawsze. Najciekawszych wielkanocnych ofert zwykle szukamy w gazetkach promocyjnych (52% ankietowanych), w aplikacjach mobilnych sklepów (14%) lub na ich stronach internetowych (11%).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Święta w rodzinnym gronie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Nadchodzącą Wielkanoc większość z nas spędzi w domowym zaciszu, które wybierze 59% respondentów. Częściowo we własnym domu lub u rodziny czy znajomych, albo po prostu u rodziny ten czas będzie celebrować odpowiednio 18 i 17% ankietowanych. Święta najchętniej poświęcimy biesiadowaniu i spotkaniom z bliskimi, co planuje 46% osób biorących udział w PAYBACK Opinion Poll. Dla 21% z nas będzie to doskonała okazja do odpoczynku i na przykład nadrobienia filmowych czy książkowych pozycji. Z kolei 16% już teraz chce spędzić tych kilka dni aktywnie, między innymi na spacerach, do czego (miejmy nadzieję) zachęci nas kwietniowa aura.</w:t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2904122" cy="2412432"/>
            <wp:effectExtent b="0" l="0" r="0" t="0"/>
            <wp:docPr id="9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4122" cy="24124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 ciekawe, w temacie tradycji wielkanocnego zajączka, czyli wręczania bliskim upominków, zdania są podzielone – 52% respondentów nie ma takiego zwyczaju, w przeciwieństwie do 48% ankietowanych, którzy kupują z tej okazji prezenty. Zazwyczaj są to słodycze (38%), gry i zabawki (16%) lub gotówka, którą wręcza co dziesiąty badany. Wielkanocne upominki dajemy przede wszystkim najmłodszym, co zadeklarowało 44% osób biorących w badaniu PAYBACK. 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Pomoc dla obywateli Ukrainy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Ostatnie tygodnie dla zdecydowanej większości polskiego społeczeństwa upłynęły jako czas mobilizacji i niesienia pomocy uchodźcom z pogrążonej wojną Ukrainy. Potwierdza to badanie PAYBACK, w którym 65% respondentów zadeklarowało, że angażowało się (lub angażuje nadal) w działania pomocowe na rzecz naszych wschodnich sąsiadów. Zwykle pomagamy biorąc udział w zbiórkach jedzenia, odzieży i środków higieny (42%), przekazując wsparcie finansowe (31%) lub w formie wolontariatu (6%).</w:t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3514439" cy="3067410"/>
            <wp:effectExtent b="0" l="0" r="0" t="0"/>
            <wp:docPr id="1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14439" cy="30674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Gotowość polskiego społeczeństwa do niesienia pomocy potwierdziła uruchomiona dla uczestników naszego Programu możliwość wymiany punktów PAYBACK na vouchery o różnych nominałach. Zebrane w ten sposób środki są przeznaczane na zbiórkę organizowaną przez Polską Akcję Humanitarną w ramach akcji „SOS Ukraina”. To działanie spotkało się to z dużym odzewem ze strony użytkowników, którzy do tej pory przekazali w punkach równowartość ponad 190 tys. zł na pomoc ukraińskim obywatelom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- podsumowuje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Katarzyna Grzywaczewska.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PAYBACK Opinion Poll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</w:pBdr>
        <w:spacing w:after="240" w:lineRule="auto"/>
        <w:ind w:right="1"/>
        <w:jc w:val="both"/>
        <w:rPr>
          <w:rFonts w:ascii="Arial" w:cs="Arial" w:eastAsia="Arial" w:hAnsi="Arial"/>
          <w:sz w:val="16"/>
          <w:szCs w:val="16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To badanie zostało przeprowadzone na uczestnikach Programu PAYBACK w dniach 22-24  marca 2022 r. metodą ankiety online na grupie 823 osób. Grupa badawcza w wieku 18-65 lat dobrana została tak, aby odpowiadać strukturze demograficznej kraju..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PAYBACK Polska </w:t>
      </w:r>
    </w:p>
    <w:p w:rsidR="00000000" w:rsidDel="00000000" w:rsidP="00000000" w:rsidRDefault="00000000" w:rsidRPr="00000000" w14:paraId="0000001C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Jesteśmy największym multipartnerskim Programem Bonusowym w Polsce. Uczestnicy naszego Programu mogą zbierać punkty przy pomocy plastikowych kart i nowoczesnej aplikacji. Nagradzamy konsumentów, aby czerpali dodatkową radość z zakupów i doświadczeń z różnymi markami. Wspieramy naszych partnerów w realizacji celów sprzedażowych, budując trwałe relacje z ich klientami.</w:t>
      </w:r>
    </w:p>
    <w:p w:rsidR="00000000" w:rsidDel="00000000" w:rsidP="00000000" w:rsidRDefault="00000000" w:rsidRPr="00000000" w14:paraId="0000001D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Dzięki skali działania oraz narzędziom Big i Smart Data skutecznie pomagamy firmom wzmacniać ich pozycję na rynku. Pogłębione dane o zwyczajach zakupowych pozwalają na stworzenie spersonalizowanej komunikacji i większe angażowanie klientów.</w:t>
      </w:r>
    </w:p>
    <w:p w:rsidR="00000000" w:rsidDel="00000000" w:rsidP="00000000" w:rsidRDefault="00000000" w:rsidRPr="00000000" w14:paraId="0000001F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0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Wśród naszych partnerów są duże sieci handlowe, firmy usługowe oraz największe platformy e-commerce. Uczestnicy Programu mają do dyspozycji tysiące miejsc sprzedaży w tym 250 sklepów online, w których mogą zbierać punkty i wykorzystywać je na różne sposoby:</w:t>
      </w:r>
    </w:p>
    <w:p w:rsidR="00000000" w:rsidDel="00000000" w:rsidP="00000000" w:rsidRDefault="00000000" w:rsidRPr="00000000" w14:paraId="00000021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• </w:t>
        <w:tab/>
        <w:t xml:space="preserve">podczas płatności za zakupy </w:t>
      </w:r>
    </w:p>
    <w:p w:rsidR="00000000" w:rsidDel="00000000" w:rsidP="00000000" w:rsidRDefault="00000000" w:rsidRPr="00000000" w14:paraId="00000022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• </w:t>
        <w:tab/>
        <w:t xml:space="preserve">wymieniając na nagrody – już ponad 2 miliony rozdanych nagród</w:t>
      </w:r>
    </w:p>
    <w:p w:rsidR="00000000" w:rsidDel="00000000" w:rsidP="00000000" w:rsidRDefault="00000000" w:rsidRPr="00000000" w14:paraId="00000023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• </w:t>
        <w:tab/>
        <w:t xml:space="preserve">wymieniając na mile Miles &amp; More</w:t>
      </w:r>
    </w:p>
    <w:p w:rsidR="00000000" w:rsidDel="00000000" w:rsidP="00000000" w:rsidRDefault="00000000" w:rsidRPr="00000000" w14:paraId="00000024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• </w:t>
        <w:tab/>
        <w:t xml:space="preserve">przekazując na cele charytatywne.</w:t>
      </w:r>
    </w:p>
    <w:p w:rsidR="00000000" w:rsidDel="00000000" w:rsidP="00000000" w:rsidRDefault="00000000" w:rsidRPr="00000000" w14:paraId="00000025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W samym 2021 roku liczba transakcji, w których uczestnicy Programu zbierali i wykorzystywali punkty PAYBACK, sięgnęła ponad 109 milionów, a obrót nimi przekroczył równowartość 15,1 miliarda PLN.</w:t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1" w:sz="4" w:val="single"/>
        </w:pBdr>
        <w:spacing w:after="0" w:line="276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Kontakt dla mediów: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Agnieszka Ratajczyk</w:t>
      </w:r>
    </w:p>
    <w:p w:rsidR="00000000" w:rsidDel="00000000" w:rsidP="00000000" w:rsidRDefault="00000000" w:rsidRPr="00000000" w14:paraId="0000002A">
      <w:pPr>
        <w:spacing w:after="0" w:line="276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Adequate</w:t>
        <w:br w:type="textWrapping"/>
        <w:t xml:space="preserve">Tel. +48 534 055 450</w:t>
      </w:r>
    </w:p>
    <w:p w:rsidR="00000000" w:rsidDel="00000000" w:rsidP="00000000" w:rsidRDefault="00000000" w:rsidRPr="00000000" w14:paraId="0000002B">
      <w:pPr>
        <w:spacing w:after="240" w:lineRule="auto"/>
        <w:jc w:val="both"/>
        <w:rPr>
          <w:rFonts w:ascii="Arial" w:cs="Arial" w:eastAsia="Arial" w:hAnsi="Arial"/>
          <w:b w:val="1"/>
          <w:color w:val="1155cc"/>
          <w:sz w:val="16"/>
          <w:szCs w:val="16"/>
        </w:rPr>
      </w:pPr>
      <w:hyperlink r:id="rId11">
        <w:r w:rsidDel="00000000" w:rsidR="00000000" w:rsidRPr="00000000">
          <w:rPr>
            <w:rFonts w:ascii="Arial" w:cs="Arial" w:eastAsia="Arial" w:hAnsi="Arial"/>
            <w:color w:val="0000ff"/>
            <w:sz w:val="16"/>
            <w:szCs w:val="16"/>
            <w:u w:val="single"/>
            <w:rtl w:val="0"/>
          </w:rPr>
          <w:t xml:space="preserve">agnieszka.ratajczyk@adequate.pl</w:t>
        </w:r>
      </w:hyperlink>
      <w:r w:rsidDel="00000000" w:rsidR="00000000" w:rsidRPr="00000000">
        <w:rPr>
          <w:color w:val="1155cc"/>
          <w:rtl w:val="0"/>
        </w:rPr>
        <w:br w:type="textWrapping"/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16"/>
            <w:szCs w:val="16"/>
            <w:u w:val="single"/>
            <w:rtl w:val="0"/>
          </w:rPr>
          <w:t xml:space="preserve">pr_pl@payback.net</w:t>
        </w:r>
      </w:hyperlink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40" w:w="11900" w:orient="portrait"/>
      <w:pgMar w:bottom="0" w:top="1134" w:left="1418" w:right="1268" w:header="284" w:footer="32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Rule="auto"/>
      <w:ind w:left="1416" w:firstLine="707.0000000000002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10223500</wp:posOffset>
              </wp:positionV>
              <wp:extent cx="7566025" cy="282575"/>
              <wp:effectExtent b="0" l="0" r="0" t="0"/>
              <wp:wrapNone/>
              <wp:docPr descr="{&quot;HashCode&quot;:-2082467515,&quot;Height&quot;:842.0,&quot;Width&quot;:595.0,&quot;Placement&quot;:&quot;Footer&quot;,&quot;Index&quot;:&quot;Primary&quot;,&quot;Section&quot;:1,&quot;Top&quot;:0.0,&quot;Left&quot;:0.0}"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67750" y="3643475"/>
                        <a:ext cx="755650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LP-Internal</w:t>
                          </w:r>
                        </w:p>
                      </w:txbxContent>
                    </wps:txbx>
                    <wps:bodyPr anchorCtr="0" anchor="b" bIns="0" lIns="91425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10223500</wp:posOffset>
              </wp:positionV>
              <wp:extent cx="7566025" cy="282575"/>
              <wp:effectExtent b="0" l="0" r="0" t="0"/>
              <wp:wrapNone/>
              <wp:docPr descr="{&quot;HashCode&quot;:-2082467515,&quot;Height&quot;:842.0,&quot;Width&quot;:595.0,&quot;Placement&quot;:&quot;Footer&quot;,&quot;Index&quot;:&quot;Primary&quot;,&quot;Section&quot;:1,&quot;Top&quot;:0.0,&quot;Left&quot;:0.0}" id="7" name="image6.png"/>
              <a:graphic>
                <a:graphicData uri="http://schemas.openxmlformats.org/drawingml/2006/picture">
                  <pic:pic>
                    <pic:nvPicPr>
                      <pic:cNvPr descr="{&quot;HashCode&quot;:-2082467515,&quot;Height&quot;:842.0,&quot;Width&quot;:595.0,&quot;Placement&quot;:&quot;Footer&quot;,&quot;Index&quot;:&quot;Primary&quot;,&quot;Section&quot;:1,&quot;Top&quot;:0.0,&quot;Left&quot;:0.0}"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6025" cy="282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Rule="auto"/>
      <w:ind w:left="-1134" w:right="-999" w:firstLine="0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drawing>
        <wp:inline distB="0" distT="0" distL="0" distR="0">
          <wp:extent cx="7391400" cy="457200"/>
          <wp:effectExtent b="0" l="0" r="0" t="0"/>
          <wp:docPr descr="C:\Users\pruzik\Desktop\belkaPAYBACKnet.jpg" id="11" name="image1.jpg"/>
          <a:graphic>
            <a:graphicData uri="http://schemas.openxmlformats.org/drawingml/2006/picture">
              <pic:pic>
                <pic:nvPicPr>
                  <pic:cNvPr descr="C:\Users\pruzik\Desktop\belkaPAYBACKne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91400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720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pBdr>
        <w:bottom w:color="000000" w:space="1" w:sz="4" w:val="single"/>
      </w:pBdr>
      <w:spacing w:after="60" w:before="240" w:lineRule="auto"/>
      <w:ind w:left="576" w:hanging="576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</w:pPr>
    <w:rPr>
      <w:rFonts w:ascii="Times New Roman" w:cs="Times New Roman" w:eastAsia="Times New Roman" w:hAnsi="Times New Roman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spacing w:after="60" w:before="240"/>
      <w:ind w:left="720" w:hanging="720"/>
      <w:outlineLvl w:val="0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pBdr>
        <w:bottom w:color="000000" w:space="1" w:sz="4" w:val="single"/>
      </w:pBdr>
      <w:spacing w:after="60" w:before="240"/>
      <w:ind w:left="576" w:hanging="576"/>
      <w:outlineLvl w:val="1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ind w:left="720" w:hanging="720"/>
      <w:outlineLvl w:val="2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ind w:left="864" w:hanging="864"/>
      <w:outlineLvl w:val="3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spacing w:after="60" w:before="240"/>
      <w:ind w:left="1008" w:hanging="1008"/>
      <w:outlineLvl w:val="4"/>
    </w:pPr>
    <w:rPr>
      <w:rFonts w:ascii="Times New Roman" w:cs="Times New Roman" w:eastAsia="Times New Roman" w:hAnsi="Times New Roman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spacing w:after="60" w:before="240"/>
      <w:ind w:left="1152" w:hanging="1152"/>
      <w:outlineLvl w:val="5"/>
    </w:pPr>
    <w:rPr>
      <w:rFonts w:ascii="Times New Roman" w:cs="Times New Roman" w:eastAsia="Times New Roman" w:hAnsi="Times New Roman"/>
      <w:b w:val="1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22CEA"/>
    <w:pPr>
      <w:spacing w:after="0"/>
    </w:pPr>
    <w:rPr>
      <w:rFonts w:ascii="Arial" w:cs="Arial" w:eastAsia="Arial" w:hAnsi="Arial"/>
      <w:sz w:val="20"/>
      <w:szCs w:val="20"/>
      <w:lang w:val="pl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22CEA"/>
    <w:rPr>
      <w:rFonts w:ascii="Arial" w:cs="Arial" w:eastAsia="Arial" w:hAnsi="Arial"/>
      <w:sz w:val="20"/>
      <w:szCs w:val="20"/>
      <w:lang w:val="pl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22CEA"/>
    <w:rPr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AD2D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D2DD4"/>
    <w:rPr>
      <w:color w:val="605e5c"/>
      <w:shd w:color="auto" w:fill="e1dfdd" w:val="clear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55194"/>
    <w:pPr>
      <w:spacing w:after="0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55194"/>
    <w:rPr>
      <w:rFonts w:ascii="Segoe UI" w:cs="Segoe UI" w:hAnsi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555194"/>
    <w:pPr>
      <w:spacing w:after="200"/>
    </w:pPr>
    <w:rPr>
      <w:rFonts w:ascii="Calibri" w:cs="Calibri" w:eastAsia="Calibri" w:hAnsi="Calibri"/>
      <w:b w:val="1"/>
      <w:bCs w:val="1"/>
      <w:lang w:val="pl-PL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555194"/>
    <w:rPr>
      <w:rFonts w:ascii="Arial" w:cs="Arial" w:eastAsia="Arial" w:hAnsi="Arial"/>
      <w:b w:val="1"/>
      <w:bCs w:val="1"/>
      <w:sz w:val="20"/>
      <w:szCs w:val="20"/>
      <w:lang w:val="pl"/>
    </w:rPr>
  </w:style>
  <w:style w:type="paragraph" w:styleId="NoSpacing">
    <w:name w:val="No Spacing"/>
    <w:uiPriority w:val="99"/>
    <w:qFormat w:val="1"/>
    <w:rsid w:val="00064ADD"/>
    <w:pPr>
      <w:spacing w:after="0"/>
    </w:pPr>
    <w:rPr>
      <w:rFonts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 w:val="1"/>
    <w:rsid w:val="00110B0D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110B0D"/>
  </w:style>
  <w:style w:type="paragraph" w:styleId="Footer">
    <w:name w:val="footer"/>
    <w:basedOn w:val="Normal"/>
    <w:link w:val="FooterChar"/>
    <w:uiPriority w:val="99"/>
    <w:unhideWhenUsed w:val="1"/>
    <w:rsid w:val="00110B0D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110B0D"/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A874E0"/>
    <w:pPr>
      <w:spacing w:after="0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A874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1"/>
    <w:unhideWhenUsed w:val="1"/>
    <w:rsid w:val="00A874E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04224C"/>
    <w:pPr>
      <w:spacing w:after="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0422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04224C"/>
    <w:rPr>
      <w:vertAlign w:val="superscript"/>
    </w:rPr>
  </w:style>
  <w:style w:type="paragraph" w:styleId="Revision">
    <w:name w:val="Revision"/>
    <w:hidden w:val="1"/>
    <w:uiPriority w:val="99"/>
    <w:semiHidden w:val="1"/>
    <w:rsid w:val="00F00959"/>
    <w:pPr>
      <w:spacing w:after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agnieszka.ratajczyk@adequate.pl" TargetMode="External"/><Relationship Id="rId10" Type="http://schemas.openxmlformats.org/officeDocument/2006/relationships/image" Target="media/image5.jpg"/><Relationship Id="rId13" Type="http://schemas.openxmlformats.org/officeDocument/2006/relationships/header" Target="header1.xml"/><Relationship Id="rId12" Type="http://schemas.openxmlformats.org/officeDocument/2006/relationships/hyperlink" Target="mailto:pr_pl@payback.ne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2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/hXkmgHa9QqJf+pG2JSZOgPs3w==">AMUW2mW+Kx0xI49UFclfaL/A2KiZwYS51mUMe988/057M0y/GB/LBgFLWmtdL3QbvNyokniZZ6ptkUI4ghnr95yfTIDXqBJMGYmViBcq3bKU4qxhLXMMBrFczA4yEvmtKhvsHOWn/CXl0j++ZzHWpn5cX/07TOyQiQ==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2022-04-05T11:43:00Z</dcterms:created>
  <dc:creator>Katarzyna Grzywaczewska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1f464f-db62-4494-af3b-a231dcaf6521_Enabled">
    <vt:lpwstr>true</vt:lpwstr>
  </property>
  <property fmtid="{D5CDD505-2E9C-101B-9397-08002B2CF9AE}" pid="3" name="MSIP_Label_f41f464f-db62-4494-af3b-a231dcaf6521_SetDate">
    <vt:lpwstr>2022-04-05T11:43:35Z</vt:lpwstr>
  </property>
  <property fmtid="{D5CDD505-2E9C-101B-9397-08002B2CF9AE}" pid="4" name="MSIP_Label_f41f464f-db62-4494-af3b-a231dcaf6521_Method">
    <vt:lpwstr>Standard</vt:lpwstr>
  </property>
  <property fmtid="{D5CDD505-2E9C-101B-9397-08002B2CF9AE}" pid="5" name="MSIP_Label_f41f464f-db62-4494-af3b-a231dcaf6521_Name">
    <vt:lpwstr>LP-Internal</vt:lpwstr>
  </property>
  <property fmtid="{D5CDD505-2E9C-101B-9397-08002B2CF9AE}" pid="6" name="MSIP_Label_f41f464f-db62-4494-af3b-a231dcaf6521_SiteId">
    <vt:lpwstr>c89fef16-c0d7-43f3-8b73-bcde5402aa5b</vt:lpwstr>
  </property>
  <property fmtid="{D5CDD505-2E9C-101B-9397-08002B2CF9AE}" pid="7" name="MSIP_Label_f41f464f-db62-4494-af3b-a231dcaf6521_ActionId">
    <vt:lpwstr>8af5d109-933c-48a7-9ab7-f2415ffe1cfd</vt:lpwstr>
  </property>
  <property fmtid="{D5CDD505-2E9C-101B-9397-08002B2CF9AE}" pid="8" name="MSIP_Label_f41f464f-db62-4494-af3b-a231dcaf6521_ContentBits">
    <vt:lpwstr>2</vt:lpwstr>
  </property>
</Properties>
</file>